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jc w:val="left"/>
        <w:rPr>
          <w:rFonts w:eastAsia="Times New Roman" w:cs="Times New Roman"/>
          <w:b/>
          <w:b/>
          <w:i w:val="false"/>
          <w:i w:val="false"/>
          <w:iCs w:val="false"/>
          <w:sz w:val="30"/>
          <w:szCs w:val="30"/>
          <w:lang w:val="pl-PL" w:eastAsia="ja-JP" w:bidi="fa-IR"/>
        </w:rPr>
      </w:pPr>
      <w:r>
        <w:rPr>
          <w:rFonts w:eastAsia="Times New Roman" w:cs="Times New Roman"/>
          <w:b/>
          <w:i w:val="false"/>
          <w:iCs w:val="false"/>
          <w:sz w:val="30"/>
          <w:szCs w:val="30"/>
          <w:lang w:val="pl-PL" w:eastAsia="ja-JP" w:bidi="fa-IR"/>
        </w:rPr>
      </w:r>
    </w:p>
    <w:p>
      <w:pPr>
        <w:pStyle w:val="Gwka"/>
        <w:jc w:val="left"/>
        <w:rPr/>
      </w:pPr>
      <w:r>
        <w:rPr>
          <w:rFonts w:eastAsia="Times New Roman" w:cs="Times New Roman"/>
          <w:b/>
          <w:i w:val="false"/>
          <w:iCs w:val="false"/>
          <w:sz w:val="30"/>
          <w:szCs w:val="30"/>
          <w:lang w:val="pl-PL" w:eastAsia="ja-JP" w:bidi="fa-IR"/>
        </w:rPr>
        <w:t xml:space="preserve"> 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5108575</wp:posOffset>
            </wp:positionH>
            <wp:positionV relativeFrom="paragraph">
              <wp:posOffset>-185420</wp:posOffset>
            </wp:positionV>
            <wp:extent cx="1544320" cy="64325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74295</wp:posOffset>
            </wp:positionH>
            <wp:positionV relativeFrom="paragraph">
              <wp:posOffset>-95885</wp:posOffset>
            </wp:positionV>
            <wp:extent cx="1687195" cy="358775"/>
            <wp:effectExtent l="0" t="0" r="0" b="0"/>
            <wp:wrapNone/>
            <wp:docPr id="2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20" t="-587" r="-120" b="-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i w:val="false"/>
          <w:iCs w:val="false"/>
          <w:sz w:val="30"/>
          <w:szCs w:val="30"/>
          <w:lang w:val="pl-PL" w:eastAsia="ja-JP" w:bidi="fa-IR"/>
        </w:rPr>
        <w:t xml:space="preserve"> </w:t>
      </w:r>
      <w:r>
        <w:rPr>
          <w:rFonts w:eastAsia="Times New Roman" w:cs="Times New Roman"/>
          <w:b/>
          <w:i w:val="false"/>
          <w:iCs w:val="false"/>
          <w:sz w:val="30"/>
          <w:szCs w:val="30"/>
          <w:lang w:val="pl-PL" w:eastAsia="ja-JP" w:bidi="fa-IR"/>
        </w:rPr>
        <w:t xml:space="preserve">      </w:t>
      </w:r>
    </w:p>
    <w:p>
      <w:pPr>
        <w:pStyle w:val="Gwka"/>
        <w:jc w:val="right"/>
        <w:rPr>
          <w:rFonts w:ascii="Calibri" w:hAnsi="Calibri" w:eastAsia="Times New Roman" w:cs="Times New Roman"/>
          <w:i w:val="false"/>
          <w:i w:val="false"/>
          <w:iCs w:val="false"/>
          <w:sz w:val="30"/>
          <w:szCs w:val="30"/>
          <w:lang w:val="pl-PL" w:eastAsia="ja-JP" w:bidi="fa-IR"/>
        </w:rPr>
      </w:pPr>
      <w:r>
        <w:rPr>
          <w:rFonts w:eastAsia="Times New Roman" w:cs="Times New Roman"/>
          <w:i w:val="false"/>
          <w:iCs w:val="false"/>
          <w:sz w:val="30"/>
          <w:szCs w:val="30"/>
          <w:lang w:val="pl-PL" w:eastAsia="ja-JP" w:bidi="fa-IR"/>
        </w:rPr>
      </w:r>
      <w:bookmarkStart w:id="0" w:name="__DdeLink__10019_2250083607"/>
      <w:bookmarkStart w:id="1" w:name="__DdeLink__10019_2250083607"/>
      <w:bookmarkEnd w:id="1"/>
    </w:p>
    <w:p>
      <w:pPr>
        <w:pStyle w:val="Normal"/>
        <w:jc w:val="right"/>
        <w:rPr>
          <w:rFonts w:ascii="Calibri" w:hAnsi="Calibri"/>
          <w:sz w:val="20"/>
          <w:szCs w:val="20"/>
        </w:rPr>
      </w:pPr>
      <w:r>
        <w:rPr>
          <w:rFonts w:cs="Times New Roman"/>
          <w:b w:val="false"/>
          <w:bCs w:val="false"/>
          <w:i/>
          <w:sz w:val="20"/>
          <w:szCs w:val="20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0"/>
          <w:szCs w:val="20"/>
        </w:rPr>
        <w:t>Załącznik nr 1 do Zasad</w:t>
      </w:r>
    </w:p>
    <w:p>
      <w:pPr>
        <w:pStyle w:val="Normal"/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D9D9D9" w:themeFill="background1" w:themeFillShade="d9"/>
        <w:jc w:val="center"/>
        <w:rPr/>
      </w:pPr>
      <w:r>
        <w:rPr>
          <w:b/>
          <w:i/>
          <w:sz w:val="20"/>
          <w:szCs w:val="18"/>
        </w:rPr>
        <w:t xml:space="preserve">KARTA  OCENY  MERYTORYCZNEJ  DLA KAŻDEJ OSOBY WSKAZANEJ WE WNIOSKU  O  PRZYZNANIE ŚRODKÓW Z KRAJOWEGO FUNDUSZU SZKOLENIOWEGO NA FINANSOWANIE KOSZTÓW KSZTAŁCENIA USTAWICZNEGO </w:t>
      </w:r>
    </w:p>
    <w:p>
      <w:pPr>
        <w:pStyle w:val="Normal"/>
        <w:tabs>
          <w:tab w:val="clear" w:pos="708"/>
          <w:tab w:val="right" w:pos="10488" w:leader="dot"/>
        </w:tabs>
        <w:spacing w:lineRule="auto" w:line="240" w:before="0" w:after="120"/>
        <w:rPr/>
      </w:pPr>
      <w:r>
        <w:rPr>
          <w:sz w:val="20"/>
          <w:szCs w:val="20"/>
        </w:rPr>
        <w:t xml:space="preserve">WNIOSKODAWCA </w:t>
      </w:r>
      <w:r>
        <w:rPr>
          <w:rFonts w:eastAsia="Calibri" w:cs="" w:cstheme="minorBidi" w:eastAsiaTheme="minorHAnsi"/>
          <w:color w:val="00000A"/>
          <w:kern w:val="0"/>
          <w:sz w:val="20"/>
          <w:szCs w:val="20"/>
          <w:lang w:val="pl-PL" w:eastAsia="en-US" w:bidi="ar-SA"/>
        </w:rPr>
        <w:tab/>
      </w:r>
    </w:p>
    <w:p>
      <w:pPr>
        <w:pStyle w:val="Normal"/>
        <w:tabs>
          <w:tab w:val="clear" w:pos="708"/>
          <w:tab w:val="right" w:pos="10488" w:leader="dot"/>
        </w:tabs>
        <w:spacing w:lineRule="auto" w:line="240" w:before="0" w:after="120"/>
        <w:rPr/>
      </w:pPr>
      <w:r>
        <w:rPr>
          <w:sz w:val="20"/>
          <w:szCs w:val="20"/>
        </w:rPr>
        <w:t>NR WNIOSKU (ewidencja GUP/ewidencja Referatu CAZ/S</w:t>
      </w:r>
      <w:r>
        <w:rPr>
          <w:b/>
          <w:bCs/>
          <w:sz w:val="16"/>
          <w:szCs w:val="16"/>
        </w:rPr>
        <w:t>)</w:t>
      </w:r>
      <w:r>
        <w:rPr>
          <w:rFonts w:eastAsia="Calibri" w:cs="" w:cstheme="minorBidi" w:eastAsiaTheme="minorHAnsi"/>
          <w:b/>
          <w:bCs/>
          <w:color w:val="00000A"/>
          <w:kern w:val="0"/>
          <w:sz w:val="20"/>
          <w:szCs w:val="20"/>
          <w:lang w:val="pl-PL" w:eastAsia="en-US" w:bidi="ar-SA"/>
        </w:rPr>
        <w:t xml:space="preserve"> </w:t>
        <w:tab/>
      </w:r>
    </w:p>
    <w:tbl>
      <w:tblPr>
        <w:tblStyle w:val="Tabela-Siatka"/>
        <w:tblW w:w="10489" w:type="dxa"/>
        <w:jc w:val="left"/>
        <w:tblInd w:w="-99" w:type="dxa"/>
        <w:tblCellMar>
          <w:top w:w="0" w:type="dxa"/>
          <w:left w:w="15" w:type="dxa"/>
          <w:bottom w:w="0" w:type="dxa"/>
          <w:right w:w="79" w:type="dxa"/>
        </w:tblCellMar>
        <w:tblLook w:firstRow="1" w:noVBand="1" w:lastRow="0" w:firstColumn="1" w:lastColumn="0" w:noHBand="0" w:val="04a0"/>
      </w:tblPr>
      <w:tblGrid>
        <w:gridCol w:w="442"/>
        <w:gridCol w:w="5912"/>
        <w:gridCol w:w="2388"/>
        <w:gridCol w:w="1746"/>
      </w:tblGrid>
      <w:tr>
        <w:trPr>
          <w:trHeight w:val="514" w:hRule="atLeast"/>
        </w:trPr>
        <w:tc>
          <w:tcPr>
            <w:tcW w:w="4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5912" w:type="dxa"/>
            <w:tcBorders>
              <w:top w:val="single" w:sz="12" w:space="0" w:color="00000A"/>
              <w:bottom w:val="single" w:sz="12" w:space="0" w:color="00000A"/>
            </w:tcBorders>
            <w:shd w:color="auto" w:fill="FFF2CC" w:themeFill="accent4" w:themeFillTint="33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KRYTERIA OCENY MERYTORYCZNEJ</w:t>
            </w:r>
          </w:p>
        </w:tc>
        <w:tc>
          <w:tcPr>
            <w:tcW w:w="2388" w:type="dxa"/>
            <w:tcBorders>
              <w:top w:val="single" w:sz="12" w:space="0" w:color="00000A"/>
              <w:bottom w:val="single" w:sz="12" w:space="0" w:color="00000A"/>
            </w:tcBorders>
            <w:shd w:color="auto" w:fill="FFF2CC" w:themeFill="accent4" w:themeFillTint="33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b/>
                <w:b/>
                <w:sz w:val="20"/>
                <w:szCs w:val="16"/>
              </w:rPr>
            </w:pPr>
            <w:r>
              <w:rPr>
                <w:b/>
                <w:sz w:val="16"/>
                <w:szCs w:val="16"/>
              </w:rPr>
              <w:t>Punktacja</w:t>
            </w:r>
          </w:p>
        </w:tc>
        <w:tc>
          <w:tcPr>
            <w:tcW w:w="17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hanging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uzyskanych punktów</w:t>
            </w:r>
          </w:p>
        </w:tc>
      </w:tr>
      <w:tr>
        <w:trPr>
          <w:trHeight w:val="284" w:hRule="atLeast"/>
        </w:trPr>
        <w:tc>
          <w:tcPr>
            <w:tcW w:w="442" w:type="dxa"/>
            <w:tcBorders>
              <w:top w:val="single" w:sz="12" w:space="0" w:color="00000A"/>
              <w:left w:val="single" w:sz="12" w:space="0" w:color="00000A"/>
            </w:tcBorders>
            <w:shd w:fill="B2B2B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jc w:val="center"/>
              <w:rPr/>
            </w:pPr>
            <w:r>
              <w:rPr>
                <w:b/>
                <w:sz w:val="16"/>
                <w:szCs w:val="16"/>
              </w:rPr>
              <w:t>a)</w:t>
            </w:r>
          </w:p>
        </w:tc>
        <w:tc>
          <w:tcPr>
            <w:tcW w:w="5912" w:type="dxa"/>
            <w:tcBorders>
              <w:top w:val="single" w:sz="12" w:space="0" w:color="00000A"/>
            </w:tcBorders>
            <w:shd w:fill="B2B2B2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sz w:val="16"/>
                <w:szCs w:val="16"/>
              </w:rPr>
              <w:t>Zgodność wnioskowanych działań, o które ubiega się pracodawca z ustalonymi priorytetami wydatkowania środków KFS na dany rok 2024</w:t>
            </w:r>
          </w:p>
        </w:tc>
        <w:tc>
          <w:tcPr>
            <w:tcW w:w="2388" w:type="dxa"/>
            <w:tcBorders>
              <w:top w:val="single" w:sz="12" w:space="0" w:color="00000A"/>
            </w:tcBorders>
            <w:shd w:fill="B2B2B2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 1</w:t>
            </w:r>
          </w:p>
        </w:tc>
        <w:tc>
          <w:tcPr>
            <w:tcW w:w="1746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42" w:type="dxa"/>
            <w:vMerge w:val="restart"/>
            <w:tcBorders>
              <w:top w:val="nil"/>
              <w:lef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12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Zgodność</w:t>
            </w:r>
          </w:p>
        </w:tc>
        <w:tc>
          <w:tcPr>
            <w:tcW w:w="2388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6" w:type="dxa"/>
            <w:vMerge w:val="continue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42" w:type="dxa"/>
            <w:vMerge w:val="continue"/>
            <w:tcBorders>
              <w:top w:val="nil"/>
              <w:lef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12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Akapitzlist"/>
              <w:widowControl w:val="false"/>
              <w:tabs>
                <w:tab w:val="clear" w:pos="708"/>
                <w:tab w:val="center" w:pos="-142" w:leader="none"/>
                <w:tab w:val="left" w:pos="1413" w:leader="none"/>
              </w:tabs>
              <w:suppressAutoHyphens w:val="true"/>
              <w:spacing w:lineRule="auto" w:line="276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Calibri"/>
                <w:b w:val="false"/>
                <w:bCs w:val="false"/>
                <w:i w:val="false"/>
                <w:iCs w:val="false"/>
                <w:sz w:val="16"/>
                <w:szCs w:val="16"/>
              </w:rPr>
              <w:t>Niezgodność</w:t>
            </w:r>
          </w:p>
        </w:tc>
        <w:tc>
          <w:tcPr>
            <w:tcW w:w="2388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Akapitzlist"/>
              <w:widowControl w:val="false"/>
              <w:tabs>
                <w:tab w:val="clear" w:pos="708"/>
                <w:tab w:val="center" w:pos="-142" w:leader="none"/>
                <w:tab w:val="left" w:pos="1413" w:leader="none"/>
              </w:tabs>
              <w:suppressAutoHyphens w:val="true"/>
              <w:spacing w:lineRule="auto" w:line="276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cs="Calibri"/>
                <w:b w:val="false"/>
                <w:bCs w:val="false"/>
                <w:i/>
                <w:iCs/>
                <w:sz w:val="16"/>
                <w:szCs w:val="16"/>
              </w:rPr>
              <w:t>brak możliwości realizacji złożonego wniosku w ramach aktualnie ogłoszonego naboru</w:t>
            </w:r>
          </w:p>
        </w:tc>
        <w:tc>
          <w:tcPr>
            <w:tcW w:w="1746" w:type="dxa"/>
            <w:vMerge w:val="continue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42" w:type="dxa"/>
            <w:tcBorders>
              <w:top w:val="nil"/>
              <w:left w:val="single" w:sz="12" w:space="0" w:color="00000A"/>
            </w:tcBorders>
            <w:shd w:fill="B2B2B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b)</w:t>
            </w:r>
          </w:p>
        </w:tc>
        <w:tc>
          <w:tcPr>
            <w:tcW w:w="5912" w:type="dxa"/>
            <w:tcBorders>
              <w:top w:val="nil"/>
            </w:tcBorders>
            <w:shd w:fill="B2B2B2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sz w:val="16"/>
                <w:szCs w:val="16"/>
              </w:rPr>
              <w:t xml:space="preserve">Zgodność kompetencji nabywanych przez uczestników kształcenia ustawicznego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sz w:val="16"/>
                <w:szCs w:val="16"/>
              </w:rPr>
              <w:t>z potrzebami lokalnego rynku pracy</w:t>
            </w:r>
          </w:p>
        </w:tc>
        <w:tc>
          <w:tcPr>
            <w:tcW w:w="2388" w:type="dxa"/>
            <w:tcBorders>
              <w:top w:val="nil"/>
            </w:tcBorders>
            <w:shd w:fill="B2B2B2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 1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42" w:type="dxa"/>
            <w:vMerge w:val="restart"/>
            <w:tcBorders>
              <w:top w:val="nil"/>
              <w:lef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12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Zgodność </w:t>
            </w:r>
          </w:p>
        </w:tc>
        <w:tc>
          <w:tcPr>
            <w:tcW w:w="2388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6" w:type="dxa"/>
            <w:vMerge w:val="continue"/>
            <w:tcBorders>
              <w:top w:val="nil"/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42" w:type="dxa"/>
            <w:vMerge w:val="continue"/>
            <w:tcBorders>
              <w:top w:val="nil"/>
              <w:lef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12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Niezgodność</w:t>
            </w:r>
          </w:p>
        </w:tc>
        <w:tc>
          <w:tcPr>
            <w:tcW w:w="2388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46" w:type="dxa"/>
            <w:vMerge w:val="continue"/>
            <w:tcBorders>
              <w:top w:val="nil"/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42" w:type="dxa"/>
            <w:tcBorders>
              <w:left w:val="single" w:sz="12" w:space="0" w:color="00000A"/>
            </w:tcBorders>
            <w:shd w:fill="B2B2B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jc w:val="center"/>
              <w:rPr/>
            </w:pPr>
            <w:r>
              <w:rPr>
                <w:b/>
                <w:sz w:val="16"/>
                <w:szCs w:val="16"/>
              </w:rPr>
              <w:t>c)</w:t>
            </w:r>
          </w:p>
        </w:tc>
        <w:tc>
          <w:tcPr>
            <w:tcW w:w="5912" w:type="dxa"/>
            <w:tcBorders/>
            <w:shd w:fill="B2B2B2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rPr/>
            </w:pPr>
            <w:r>
              <w:rPr>
                <w:b/>
                <w:sz w:val="16"/>
                <w:szCs w:val="16"/>
              </w:rPr>
              <w:t xml:space="preserve">Koszty usługi kształcenia ustawicznego wskazanej do sfinansowania ze środków KFS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rPr/>
            </w:pPr>
            <w:r>
              <w:rPr>
                <w:b/>
                <w:sz w:val="16"/>
                <w:szCs w:val="16"/>
              </w:rPr>
              <w:t>w porównaniu z kosztami podobnych usług dostępnych na rynku</w:t>
            </w:r>
          </w:p>
        </w:tc>
        <w:tc>
          <w:tcPr>
            <w:tcW w:w="2388" w:type="dxa"/>
            <w:tcBorders/>
            <w:shd w:fill="B2B2B2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 1</w:t>
            </w:r>
          </w:p>
        </w:tc>
        <w:tc>
          <w:tcPr>
            <w:tcW w:w="1746" w:type="dxa"/>
            <w:vMerge w:val="restart"/>
            <w:tcBorders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442" w:type="dxa"/>
            <w:vMerge w:val="restart"/>
            <w:tcBorders>
              <w:top w:val="nil"/>
              <w:lef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12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rPr/>
            </w:pPr>
            <w:r>
              <w:rPr>
                <w:b w:val="false"/>
                <w:bCs w:val="false"/>
                <w:i/>
                <w:sz w:val="16"/>
                <w:szCs w:val="16"/>
              </w:rPr>
              <w:t xml:space="preserve">porównywalne z kosztami podobnych usług dostępnych na rynku </w:t>
            </w:r>
          </w:p>
        </w:tc>
        <w:tc>
          <w:tcPr>
            <w:tcW w:w="2388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6" w:type="dxa"/>
            <w:vMerge w:val="continue"/>
            <w:tcBorders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42" w:type="dxa"/>
            <w:vMerge w:val="continue"/>
            <w:tcBorders>
              <w:top w:val="nil"/>
              <w:lef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12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rPr/>
            </w:pPr>
            <w:r>
              <w:rPr>
                <w:b w:val="false"/>
                <w:bCs w:val="false"/>
                <w:i/>
                <w:sz w:val="16"/>
                <w:szCs w:val="16"/>
              </w:rPr>
              <w:t>wskazane koszty są zawyżone w porównaniu z cenami rynkowymi</w:t>
            </w:r>
          </w:p>
        </w:tc>
        <w:tc>
          <w:tcPr>
            <w:tcW w:w="2388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46" w:type="dxa"/>
            <w:vMerge w:val="continue"/>
            <w:tcBorders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42" w:type="dxa"/>
            <w:tcBorders>
              <w:top w:val="nil"/>
              <w:left w:val="single" w:sz="12" w:space="0" w:color="00000A"/>
            </w:tcBorders>
            <w:shd w:fill="B2B2B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d)</w:t>
            </w:r>
          </w:p>
        </w:tc>
        <w:tc>
          <w:tcPr>
            <w:tcW w:w="5912" w:type="dxa"/>
            <w:tcBorders>
              <w:top w:val="nil"/>
            </w:tcBorders>
            <w:shd w:fill="B2B2B2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rPr/>
            </w:pPr>
            <w:r>
              <w:rPr>
                <w:b/>
                <w:sz w:val="16"/>
                <w:szCs w:val="16"/>
              </w:rPr>
              <w:t xml:space="preserve">Posiadanie przez </w:t>
            </w:r>
            <w:r>
              <w:rPr>
                <w:rFonts w:eastAsia="Calibri" w:cs="" w:cstheme="minorBidi" w:eastAsiaTheme="minorHAnsi"/>
                <w:b/>
                <w:color w:val="00000A"/>
                <w:kern w:val="0"/>
                <w:sz w:val="16"/>
                <w:szCs w:val="16"/>
                <w:lang w:val="pl-PL" w:eastAsia="en-US" w:bidi="ar-SA"/>
              </w:rPr>
              <w:t>realizatora usługi</w:t>
            </w:r>
            <w:r>
              <w:rPr>
                <w:b/>
                <w:sz w:val="16"/>
                <w:szCs w:val="16"/>
              </w:rPr>
              <w:t xml:space="preserve"> kształcenia ustawicznego finansowanej ze środków KFS -  certyfikatów jakości oferowanej usługi </w:t>
            </w:r>
            <w:r>
              <w:rPr>
                <w:i/>
                <w:sz w:val="16"/>
                <w:szCs w:val="16"/>
              </w:rPr>
              <w:t>(np. Certyfikat  ISO, Znak Jakości Małopolskich Standardów Usług Edukacyjno-Szkoleniowych, Certyfikat VCC Akademia Edukacyjna, Akredytacja Centrów Egzaminacyjnych ECDL)</w:t>
            </w:r>
          </w:p>
        </w:tc>
        <w:tc>
          <w:tcPr>
            <w:tcW w:w="2388" w:type="dxa"/>
            <w:tcBorders>
              <w:top w:val="nil"/>
            </w:tcBorders>
            <w:shd w:fill="B2B2B2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/>
            </w:pPr>
            <w:r>
              <w:rPr>
                <w:b/>
                <w:sz w:val="16"/>
                <w:szCs w:val="16"/>
              </w:rPr>
              <w:t>max 2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jc w:val="center"/>
              <w:rPr>
                <w:rFonts w:ascii="Calibri" w:hAnsi="Calibri" w:eastAsia="Calibri" w:cs="" w:cstheme="minorBidi" w:eastAsiaTheme="minorHAnsi"/>
                <w:b/>
                <w:b/>
                <w:i w:val="false"/>
                <w:i w:val="false"/>
                <w:iCs w:val="false"/>
                <w:color w:val="00000A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i w:val="false"/>
                <w:iCs w:val="false"/>
                <w:color w:val="00000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328" w:hRule="atLeast"/>
        </w:trPr>
        <w:tc>
          <w:tcPr>
            <w:tcW w:w="442" w:type="dxa"/>
            <w:vMerge w:val="restart"/>
            <w:tcBorders>
              <w:top w:val="nil"/>
              <w:left w:val="single" w:sz="12" w:space="0" w:color="00000A"/>
            </w:tcBorders>
            <w:shd w:fill="C0C0C0" w:val="clear"/>
            <w:vAlign w:val="center"/>
          </w:tcPr>
          <w:p>
            <w:pPr>
              <w:pStyle w:val="Normal"/>
              <w:widowControl w:val="false"/>
              <w:shd w:val="clear" w:fill="C0C0C0"/>
              <w:suppressAutoHyphens w:val="true"/>
              <w:spacing w:lineRule="auto" w:line="240" w:before="0" w:after="0"/>
              <w:ind w:left="33" w:hanging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12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i/>
                <w:sz w:val="16"/>
                <w:szCs w:val="16"/>
              </w:rPr>
              <w:t xml:space="preserve">Wnioskodawca przedstawił  na wszystkie działania certyfikaty dla kandydata wymienionego we wniosku </w:t>
            </w:r>
          </w:p>
        </w:tc>
        <w:tc>
          <w:tcPr>
            <w:tcW w:w="2388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/>
            </w:pPr>
            <w:r>
              <w:rPr>
                <w:rFonts w:eastAsia="Calibri" w:cs="" w:cstheme="minorBidi" w:eastAsiaTheme="minorHAnsi"/>
                <w:color w:val="00000A"/>
                <w:kern w:val="0"/>
                <w:sz w:val="16"/>
                <w:szCs w:val="16"/>
                <w:lang w:val="pl-PL" w:eastAsia="en-US" w:bidi="ar-SA"/>
              </w:rPr>
              <w:t>2</w:t>
            </w:r>
          </w:p>
        </w:tc>
        <w:tc>
          <w:tcPr>
            <w:tcW w:w="1746" w:type="dxa"/>
            <w:vMerge w:val="continue"/>
            <w:tcBorders>
              <w:top w:val="nil"/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42" w:type="dxa"/>
            <w:vMerge w:val="continue"/>
            <w:tcBorders>
              <w:top w:val="nil"/>
              <w:left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12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i/>
                <w:sz w:val="16"/>
                <w:szCs w:val="16"/>
              </w:rPr>
              <w:t xml:space="preserve">Wnioskodawca przedstawił tylko na niektóre działania certyfikaty dla kandydata  wymienionego we wniosku </w:t>
            </w:r>
          </w:p>
        </w:tc>
        <w:tc>
          <w:tcPr>
            <w:tcW w:w="2388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6" w:type="dxa"/>
            <w:vMerge w:val="continue"/>
            <w:tcBorders>
              <w:top w:val="nil"/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42" w:type="dxa"/>
            <w:vMerge w:val="continue"/>
            <w:tcBorders>
              <w:top w:val="nil"/>
              <w:left w:val="single" w:sz="12" w:space="0" w:color="00000A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12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i/>
                <w:sz w:val="16"/>
                <w:szCs w:val="16"/>
              </w:rPr>
              <w:t xml:space="preserve">Wnioskodawca nie przedstawił żadnego certyfikatu </w:t>
            </w:r>
          </w:p>
        </w:tc>
        <w:tc>
          <w:tcPr>
            <w:tcW w:w="2388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46" w:type="dxa"/>
            <w:vMerge w:val="continue"/>
            <w:tcBorders>
              <w:top w:val="nil"/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33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42" w:type="dxa"/>
            <w:tcBorders>
              <w:left w:val="single" w:sz="12" w:space="0" w:color="00000A"/>
            </w:tcBorders>
            <w:shd w:fill="B2B2B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b/>
                <w:sz w:val="16"/>
                <w:szCs w:val="16"/>
              </w:rPr>
              <w:t>e)</w:t>
            </w:r>
          </w:p>
        </w:tc>
        <w:tc>
          <w:tcPr>
            <w:tcW w:w="5912" w:type="dxa"/>
            <w:tcBorders/>
            <w:shd w:fill="B2B2B2" w:val="clear"/>
            <w:tcMar>
              <w:left w:w="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i/>
                <w:sz w:val="16"/>
                <w:szCs w:val="16"/>
              </w:rPr>
              <w:t xml:space="preserve">W przypadku kursów – posiadanie przez </w:t>
            </w:r>
            <w:r>
              <w:rPr>
                <w:rFonts w:eastAsia="Calibri" w:cs="" w:cstheme="minorBidi" w:eastAsiaTheme="minorHAnsi"/>
                <w:b/>
                <w:i/>
                <w:color w:val="00000A"/>
                <w:kern w:val="0"/>
                <w:sz w:val="16"/>
                <w:szCs w:val="16"/>
                <w:lang w:val="pl-PL" w:eastAsia="en-US" w:bidi="ar-SA"/>
              </w:rPr>
              <w:t>realizatora</w:t>
            </w:r>
            <w:r>
              <w:rPr>
                <w:b/>
                <w:i/>
                <w:sz w:val="16"/>
                <w:szCs w:val="16"/>
              </w:rPr>
              <w:t xml:space="preserve"> usługi kształcenia ustawicznego dokumentu, na podstawie, którego prowadzi on pozaszkolne  formy kształcenia ustawicznego</w:t>
            </w:r>
          </w:p>
        </w:tc>
        <w:tc>
          <w:tcPr>
            <w:tcW w:w="2388" w:type="dxa"/>
            <w:tcBorders/>
            <w:shd w:fill="B2B2B2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max  1</w:t>
            </w:r>
          </w:p>
        </w:tc>
        <w:tc>
          <w:tcPr>
            <w:tcW w:w="1746" w:type="dxa"/>
            <w:vMerge w:val="restart"/>
            <w:tcBorders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42" w:type="dxa"/>
            <w:vMerge w:val="restart"/>
            <w:tcBorders>
              <w:top w:val="nil"/>
              <w:lef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12" w:type="dxa"/>
            <w:tcBorders>
              <w:top w:val="nil"/>
            </w:tcBorders>
            <w:shd w:fill="FFFFFF" w:val="clear"/>
            <w:tcMar>
              <w:left w:w="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posiada</w:t>
            </w:r>
          </w:p>
        </w:tc>
        <w:tc>
          <w:tcPr>
            <w:tcW w:w="2388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6" w:type="dxa"/>
            <w:vMerge w:val="continue"/>
            <w:tcBorders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42" w:type="dxa"/>
            <w:vMerge w:val="continue"/>
            <w:tcBorders>
              <w:top w:val="nil"/>
              <w:lef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12" w:type="dxa"/>
            <w:tcBorders>
              <w:top w:val="nil"/>
            </w:tcBorders>
            <w:shd w:fill="FFFFFF" w:val="clear"/>
            <w:tcMar>
              <w:left w:w="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nie posiada</w:t>
            </w:r>
          </w:p>
        </w:tc>
        <w:tc>
          <w:tcPr>
            <w:tcW w:w="2388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46" w:type="dxa"/>
            <w:vMerge w:val="continue"/>
            <w:tcBorders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42" w:type="dxa"/>
            <w:tcBorders>
              <w:top w:val="nil"/>
              <w:left w:val="single" w:sz="12" w:space="0" w:color="00000A"/>
            </w:tcBorders>
            <w:shd w:fill="B2B2B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f)</w:t>
            </w:r>
          </w:p>
        </w:tc>
        <w:tc>
          <w:tcPr>
            <w:tcW w:w="5912" w:type="dxa"/>
            <w:tcBorders>
              <w:top w:val="nil"/>
            </w:tcBorders>
            <w:shd w:fill="B2B2B2" w:val="clear"/>
            <w:tcMar>
              <w:left w:w="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rPr/>
            </w:pPr>
            <w:r>
              <w:rPr>
                <w:b/>
                <w:sz w:val="16"/>
                <w:szCs w:val="16"/>
              </w:rPr>
              <w:t xml:space="preserve">   </w:t>
            </w:r>
            <w:bookmarkStart w:id="2" w:name="__DdeLink__10085_635598749"/>
            <w:r>
              <w:rPr>
                <w:b/>
                <w:sz w:val="16"/>
                <w:szCs w:val="16"/>
              </w:rPr>
              <w:t xml:space="preserve">Plany dotyczące dalszego zatrudnienia osób, które będą objęte kształceniem ustawicznym finansowanym ze środków KFS - w przypadku, gdy pracodawca bierze udział w kształceniu Urząd przy ocenie wniosków będzie brał pod uwagę czy pracodawca posiada dalsze plany rozwoju </w:t>
            </w:r>
            <w:bookmarkEnd w:id="2"/>
          </w:p>
        </w:tc>
        <w:tc>
          <w:tcPr>
            <w:tcW w:w="2388" w:type="dxa"/>
            <w:tcBorders>
              <w:top w:val="nil"/>
            </w:tcBorders>
            <w:shd w:fill="B2B2B2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/>
            </w:pPr>
            <w:r>
              <w:rPr>
                <w:b/>
                <w:sz w:val="16"/>
                <w:szCs w:val="16"/>
              </w:rPr>
              <w:t>max  1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i w:val="false"/>
                <w:i w:val="false"/>
                <w:iCs w:val="false"/>
                <w:color w:val="00000A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 w:cstheme="minorBidi" w:eastAsiaTheme="minorHAnsi"/>
                <w:b/>
                <w:i w:val="false"/>
                <w:iCs w:val="false"/>
                <w:color w:val="00000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284" w:hRule="atLeast"/>
        </w:trPr>
        <w:tc>
          <w:tcPr>
            <w:tcW w:w="442" w:type="dxa"/>
            <w:tcBorders>
              <w:top w:val="nil"/>
              <w:lef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12" w:type="dxa"/>
            <w:tcBorders>
              <w:top w:val="nil"/>
            </w:tcBorders>
            <w:shd w:fill="FFFFFF" w:val="clear"/>
            <w:tcMar>
              <w:left w:w="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posiada</w:t>
            </w:r>
          </w:p>
        </w:tc>
        <w:tc>
          <w:tcPr>
            <w:tcW w:w="2388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6" w:type="dxa"/>
            <w:vMerge w:val="continue"/>
            <w:tcBorders>
              <w:top w:val="nil"/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42" w:type="dxa"/>
            <w:tcBorders>
              <w:top w:val="nil"/>
              <w:lef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12" w:type="dxa"/>
            <w:tcBorders>
              <w:top w:val="nil"/>
            </w:tcBorders>
            <w:shd w:fill="FFFFFF" w:val="clear"/>
            <w:tcMar>
              <w:left w:w="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nie posiada</w:t>
            </w:r>
          </w:p>
        </w:tc>
        <w:tc>
          <w:tcPr>
            <w:tcW w:w="2388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46" w:type="dxa"/>
            <w:vMerge w:val="continue"/>
            <w:tcBorders>
              <w:top w:val="nil"/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42" w:type="dxa"/>
            <w:tcBorders>
              <w:top w:val="nil"/>
              <w:left w:val="single" w:sz="12" w:space="0" w:color="00000A"/>
            </w:tcBorders>
            <w:shd w:fill="B2B2B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g)</w:t>
            </w:r>
          </w:p>
        </w:tc>
        <w:tc>
          <w:tcPr>
            <w:tcW w:w="5912" w:type="dxa"/>
            <w:tcBorders>
              <w:top w:val="nil"/>
            </w:tcBorders>
            <w:shd w:fill="B2B2B2" w:val="clear"/>
            <w:tcMar>
              <w:left w:w="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b/>
                <w:bCs/>
                <w:sz w:val="16"/>
                <w:szCs w:val="16"/>
              </w:rPr>
              <w:t>Dostępność środków (stwierdza Urząd)</w:t>
            </w:r>
          </w:p>
        </w:tc>
        <w:tc>
          <w:tcPr>
            <w:tcW w:w="2388" w:type="dxa"/>
            <w:tcBorders>
              <w:top w:val="nil"/>
            </w:tcBorders>
            <w:shd w:fill="B2B2B2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max 1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442" w:type="dxa"/>
            <w:vMerge w:val="restart"/>
            <w:tcBorders>
              <w:top w:val="nil"/>
              <w:lef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912" w:type="dxa"/>
            <w:tcBorders>
              <w:top w:val="nil"/>
            </w:tcBorders>
            <w:shd w:fill="FFFFFF" w:val="clear"/>
            <w:tcMar>
              <w:left w:w="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są dostępne</w:t>
            </w:r>
          </w:p>
        </w:tc>
        <w:tc>
          <w:tcPr>
            <w:tcW w:w="2388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6" w:type="dxa"/>
            <w:vMerge w:val="continue"/>
            <w:tcBorders>
              <w:top w:val="nil"/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442" w:type="dxa"/>
            <w:vMerge w:val="continue"/>
            <w:tcBorders>
              <w:top w:val="nil"/>
              <w:lef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912" w:type="dxa"/>
            <w:tcBorders>
              <w:top w:val="nil"/>
            </w:tcBorders>
            <w:shd w:fill="FFFFFF" w:val="clear"/>
            <w:tcMar>
              <w:left w:w="3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brak środków</w:t>
            </w:r>
          </w:p>
        </w:tc>
        <w:tc>
          <w:tcPr>
            <w:tcW w:w="2388" w:type="dxa"/>
            <w:tcBorders>
              <w:top w:val="nil"/>
            </w:tcBorders>
            <w:shd w:fill="FFFFFF" w:val="clear"/>
            <w:tcMar>
              <w:left w:w="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108"/>
              <w:jc w:val="center"/>
              <w:rPr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46" w:type="dxa"/>
            <w:vMerge w:val="continue"/>
            <w:tcBorders>
              <w:top w:val="nil"/>
              <w:left w:val="single" w:sz="12" w:space="0" w:color="00000A"/>
              <w:right w:val="single" w:sz="12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/>
      </w:r>
      <w:bookmarkStart w:id="3" w:name="__DdeLink__10019_22500836071"/>
      <w:bookmarkStart w:id="4" w:name="__DdeLink__10019_22500836071"/>
      <w:bookmarkEnd w:id="4"/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c52ed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c407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c52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Akapitzlist">
    <w:name w:val="Akapit z listą"/>
    <w:basedOn w:val="Normal"/>
    <w:qFormat/>
    <w:pPr>
      <w:suppressAutoHyphens w:val="true"/>
      <w:spacing w:lineRule="auto" w:line="240" w:before="0" w:after="0"/>
      <w:ind w:left="0" w:right="0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b4d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Application>LibreOffice/6.3.4.2$Windows_X86_64 LibreOffice_project/60da17e045e08f1793c57c00ba83cdfce946d0aa</Application>
  <Pages>1</Pages>
  <Words>286</Words>
  <Characters>1844</Characters>
  <CharactersWithSpaces>2109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2017-02-06T16:53:00Z</dcterms:created>
  <dc:creator>User</dc:creator>
  <dc:description/>
  <dc:language>pl-PL</dc:language>
  <cp:lastModifiedBy/>
  <cp:lastPrinted>2024-02-02T12:55:26Z</cp:lastPrinted>
  <dcterms:modified xsi:type="dcterms:W3CDTF">2024-02-02T12:55:29Z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